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5237" w14:textId="77777777" w:rsidR="00C17B22" w:rsidRDefault="00314E78" w:rsidP="006037E9">
      <w:r>
        <w:tab/>
      </w:r>
      <w:r>
        <w:tab/>
      </w:r>
      <w:r>
        <w:tab/>
      </w:r>
      <w:r>
        <w:tab/>
      </w:r>
    </w:p>
    <w:p w14:paraId="52375182" w14:textId="77777777" w:rsidR="00C17B22" w:rsidRDefault="00C17B22" w:rsidP="006037E9"/>
    <w:p w14:paraId="3814D763" w14:textId="07511890" w:rsidR="00314E78" w:rsidRDefault="00C17B22" w:rsidP="006037E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01433B">
        <w:t xml:space="preserve">                </w:t>
      </w:r>
      <w:r w:rsidR="0001433B" w:rsidRPr="0001433B">
        <w:rPr>
          <w:b/>
          <w:bCs/>
        </w:rPr>
        <w:t>Project the Outcomes</w:t>
      </w:r>
    </w:p>
    <w:p w14:paraId="6268E039" w14:textId="77777777" w:rsidR="009C20F0" w:rsidRDefault="009C20F0" w:rsidP="006037E9">
      <w:pPr>
        <w:rPr>
          <w:b/>
          <w:bCs/>
        </w:rPr>
      </w:pPr>
    </w:p>
    <w:p w14:paraId="627A6775" w14:textId="4FBB622A" w:rsidR="00314E78" w:rsidRDefault="00621A11" w:rsidP="00EA0B77">
      <w:pPr>
        <w:ind w:left="2880" w:firstLine="720"/>
      </w:pPr>
      <w:r>
        <w:t xml:space="preserve"> </w:t>
      </w:r>
    </w:p>
    <w:p w14:paraId="278E54A9" w14:textId="5702DF01" w:rsidR="00314E78" w:rsidRDefault="00621A11" w:rsidP="00E95012">
      <w:r>
        <w:t xml:space="preserve"> </w:t>
      </w:r>
    </w:p>
    <w:p w14:paraId="0D1FAE74" w14:textId="7D90F7BE" w:rsidR="00314E78" w:rsidRDefault="00E95012" w:rsidP="00E94D9E">
      <w:pPr>
        <w:ind w:left="2880" w:firstLine="720"/>
      </w:pPr>
      <w:r>
        <w:t xml:space="preserve">          </w:t>
      </w:r>
      <w:r w:rsidR="006037E9">
        <w:t>NURS505</w:t>
      </w:r>
    </w:p>
    <w:p w14:paraId="4D85C519" w14:textId="2F9D3D73" w:rsidR="006037E9" w:rsidRDefault="00621A11" w:rsidP="00E94D9E">
      <w:pPr>
        <w:ind w:left="2880" w:firstLine="720"/>
      </w:pPr>
      <w:r>
        <w:t xml:space="preserve"> </w:t>
      </w:r>
    </w:p>
    <w:p w14:paraId="2E903AE4" w14:textId="28BDD40C" w:rsidR="009C20F0" w:rsidRDefault="00E95012" w:rsidP="00E94D9E">
      <w:pPr>
        <w:ind w:left="2880" w:firstLine="720"/>
      </w:pPr>
      <w:r>
        <w:t xml:space="preserve">     </w:t>
      </w:r>
      <w:r w:rsidR="009C20F0">
        <w:t>February 6, 2022</w:t>
      </w:r>
    </w:p>
    <w:p w14:paraId="6C03AB2C" w14:textId="77777777" w:rsidR="00314E78" w:rsidRDefault="00314E78" w:rsidP="00E94D9E"/>
    <w:p w14:paraId="7669FCC1" w14:textId="77777777" w:rsidR="00314E78" w:rsidRDefault="00314E78" w:rsidP="00E94D9E"/>
    <w:p w14:paraId="3B9DDF03" w14:textId="77777777" w:rsidR="00314E78" w:rsidRDefault="00314E78" w:rsidP="00E94D9E"/>
    <w:p w14:paraId="22D0A993" w14:textId="77777777" w:rsidR="00314E78" w:rsidRDefault="00314E78"/>
    <w:p w14:paraId="7D4554FA" w14:textId="77777777" w:rsidR="005E7BEB" w:rsidRDefault="005E7BEB"/>
    <w:p w14:paraId="31999A41" w14:textId="77777777" w:rsidR="005E7BEB" w:rsidRDefault="005E7BEB"/>
    <w:p w14:paraId="08FAF07C" w14:textId="77777777" w:rsidR="005E7BEB" w:rsidRDefault="005E7BEB"/>
    <w:p w14:paraId="785F15A1" w14:textId="77777777" w:rsidR="005E7BEB" w:rsidRDefault="005E7BEB"/>
    <w:p w14:paraId="56A9E1CB" w14:textId="77777777" w:rsidR="005E7BEB" w:rsidRDefault="005E7BEB"/>
    <w:p w14:paraId="3D8C2FA9" w14:textId="77777777" w:rsidR="005E7BEB" w:rsidRDefault="005E7BEB"/>
    <w:p w14:paraId="071AFBD1" w14:textId="64FC23CC" w:rsidR="005E7BEB" w:rsidRDefault="004279FE" w:rsidP="00AC2CF4">
      <w:pPr>
        <w:ind w:firstLine="720"/>
      </w:pPr>
      <w:r>
        <w:lastRenderedPageBreak/>
        <w:t>Implementation of policies is</w:t>
      </w:r>
      <w:r w:rsidR="00E54101">
        <w:t xml:space="preserve"> not to be taken lightly, no matter the industry, particularly, healthcare policies</w:t>
      </w:r>
      <w:r w:rsidR="00B03E11">
        <w:t xml:space="preserve">, which, more often or not, is to address a specific health related </w:t>
      </w:r>
      <w:r w:rsidR="00E16CEC">
        <w:t>issue.</w:t>
      </w:r>
      <w:r w:rsidR="001975C1">
        <w:t xml:space="preserve"> There are often barriers at the beginning </w:t>
      </w:r>
      <w:r w:rsidR="006F06ED">
        <w:t>stages of attempting policy implementation. One of the biggest challenges</w:t>
      </w:r>
      <w:r w:rsidR="00474F79">
        <w:t xml:space="preserve"> is funding or financial backing, due to lack of clarity of the goal</w:t>
      </w:r>
      <w:r w:rsidR="00A34116">
        <w:t>. Another is, w</w:t>
      </w:r>
      <w:r w:rsidR="002808AD">
        <w:t xml:space="preserve">hat roles will be played and by whom, </w:t>
      </w:r>
      <w:r w:rsidR="00F510AA">
        <w:t xml:space="preserve">lastly, </w:t>
      </w:r>
      <w:r w:rsidR="00C07C54">
        <w:t>effective,</w:t>
      </w:r>
      <w:r w:rsidR="002808AD">
        <w:t xml:space="preserve"> and successful</w:t>
      </w:r>
      <w:r w:rsidR="007B2C12">
        <w:t xml:space="preserve"> collaboration </w:t>
      </w:r>
      <w:r w:rsidR="00F510AA">
        <w:t>will be</w:t>
      </w:r>
      <w:r w:rsidR="007B2C12">
        <w:t xml:space="preserve"> essential.</w:t>
      </w:r>
      <w:r w:rsidR="009F633F">
        <w:t xml:space="preserve"> A great deal of </w:t>
      </w:r>
      <w:r w:rsidR="0039157F">
        <w:t>work goes into implementing successful health care policies, there is innovation</w:t>
      </w:r>
      <w:r w:rsidR="00772239">
        <w:t>, technical, management and partnership</w:t>
      </w:r>
      <w:r w:rsidR="00C07C54">
        <w:t xml:space="preserve"> to consider. </w:t>
      </w:r>
      <w:r w:rsidR="00850183">
        <w:t xml:space="preserve"> </w:t>
      </w:r>
      <w:r w:rsidR="00CE4D26">
        <w:t>To</w:t>
      </w:r>
      <w:r w:rsidR="00850183">
        <w:t xml:space="preserve"> eradicate food deserts in rural and urban areas, the following </w:t>
      </w:r>
      <w:r w:rsidR="00C37168">
        <w:t xml:space="preserve">policy implementations have been presented. </w:t>
      </w:r>
      <w:r w:rsidR="009D604E">
        <w:t>A proposal</w:t>
      </w:r>
      <w:r w:rsidR="00CE4D26">
        <w:t xml:space="preserve"> for local farmers to partner with local communities and bring their fresh produce </w:t>
      </w:r>
      <w:r w:rsidR="00AC1541">
        <w:t>into food deserts, at a minimum of two times per week, and sold</w:t>
      </w:r>
      <w:r w:rsidR="00897B6C">
        <w:t xml:space="preserve"> at half price, another potential policy was to commit dollar store retailers building</w:t>
      </w:r>
      <w:r w:rsidR="00E812EF">
        <w:t xml:space="preserve"> permits, only, if they agreed to sell fresh produce in the stores, </w:t>
      </w:r>
      <w:r w:rsidR="009878AC">
        <w:t>the last policy was to get</w:t>
      </w:r>
      <w:r w:rsidR="00BB0AEC">
        <w:t xml:space="preserve"> school </w:t>
      </w:r>
      <w:r w:rsidR="009878AC">
        <w:t>nurses in</w:t>
      </w:r>
      <w:r w:rsidR="00BB0AEC">
        <w:t>volved in the Healthy Corner Store Initiative</w:t>
      </w:r>
      <w:r w:rsidR="00603160">
        <w:t>s.</w:t>
      </w:r>
    </w:p>
    <w:p w14:paraId="41D467A1" w14:textId="5E6C9919" w:rsidR="000223F8" w:rsidRDefault="000223F8" w:rsidP="00AC2CF4">
      <w:pPr>
        <w:ind w:firstLine="720"/>
      </w:pPr>
      <w:r>
        <w:t>If the proposed policy for farmers to partner with l</w:t>
      </w:r>
      <w:r w:rsidR="00437DEE">
        <w:t>ocal communities were passed, I would anticipate that the residents in the neighborhoods would have an opportunity to experience increased food security, which include an uptake</w:t>
      </w:r>
      <w:r w:rsidR="004A4843">
        <w:t xml:space="preserve"> in healthy foods in these underserved areas. There would </w:t>
      </w:r>
      <w:r w:rsidR="00567DDB">
        <w:t>be</w:t>
      </w:r>
      <w:r w:rsidR="00D24051">
        <w:t xml:space="preserve"> an opportunity for a boost in fresh vegetables and fruit</w:t>
      </w:r>
      <w:r w:rsidR="00567DDB">
        <w:t xml:space="preserve"> consumption in their diets. These positive</w:t>
      </w:r>
      <w:r w:rsidR="00FE30B7">
        <w:t xml:space="preserve"> outcomes would be a welcome and past due solution, although, not the complete solution</w:t>
      </w:r>
      <w:r w:rsidR="00706EB7">
        <w:t>, but a start. I believe it would improve the problem, for residents that face challenges and barriers to fresh produce.</w:t>
      </w:r>
    </w:p>
    <w:p w14:paraId="073A35CB" w14:textId="2FA28298" w:rsidR="000706CF" w:rsidRDefault="00ED27C1" w:rsidP="00AC2CF4">
      <w:pPr>
        <w:ind w:firstLine="720"/>
      </w:pPr>
      <w:r>
        <w:t xml:space="preserve">The anticipated outcomes after allowing dollar store retailers to build in food deserts, only </w:t>
      </w:r>
      <w:r w:rsidR="00127234">
        <w:t>if they commit to offering fresh produce is a winner.</w:t>
      </w:r>
      <w:r w:rsidR="00E0072A">
        <w:t xml:space="preserve"> Partnerships</w:t>
      </w:r>
      <w:r w:rsidR="0066288C">
        <w:t xml:space="preserve"> seem to be key in this policy. Dollar General has made a huge impact in Louisiana</w:t>
      </w:r>
      <w:r w:rsidR="003A64BF">
        <w:t xml:space="preserve">. Baton Rouge’s </w:t>
      </w:r>
      <w:proofErr w:type="spellStart"/>
      <w:r w:rsidR="003A64BF">
        <w:t>HealthyBR</w:t>
      </w:r>
      <w:proofErr w:type="spellEnd"/>
      <w:r w:rsidR="003A64BF">
        <w:t xml:space="preserve"> aims</w:t>
      </w:r>
      <w:r w:rsidR="00D314A5">
        <w:t xml:space="preserve"> to improve the health of its residents by way of collaborating and partnering with</w:t>
      </w:r>
      <w:r w:rsidR="00440F7A">
        <w:t xml:space="preserve"> companies whose visions, align with theirs, in efforts to </w:t>
      </w:r>
      <w:r w:rsidR="00230F8E">
        <w:t>improve the lives of their residents.</w:t>
      </w:r>
      <w:r w:rsidR="005A3E69">
        <w:t xml:space="preserve"> These successful</w:t>
      </w:r>
      <w:r w:rsidR="00341B16">
        <w:t xml:space="preserve"> collaborations </w:t>
      </w:r>
      <w:r w:rsidR="0089384F">
        <w:t xml:space="preserve">could encourage other cities to get on board with the petition to </w:t>
      </w:r>
      <w:r w:rsidR="00951DD5">
        <w:t xml:space="preserve">only grant permits to </w:t>
      </w:r>
      <w:r w:rsidR="00773B67">
        <w:t>build,</w:t>
      </w:r>
      <w:r w:rsidR="00FC2A70">
        <w:t xml:space="preserve"> with agreement to offer healthy </w:t>
      </w:r>
      <w:r w:rsidR="00FC2A70">
        <w:lastRenderedPageBreak/>
        <w:t xml:space="preserve">options </w:t>
      </w:r>
      <w:r w:rsidR="00BF02F6">
        <w:t xml:space="preserve">for residents of underserved communities. </w:t>
      </w:r>
      <w:r w:rsidR="00773B67">
        <w:t xml:space="preserve">This could further open the door for partnerships with </w:t>
      </w:r>
      <w:r w:rsidR="00BF6108">
        <w:t>brand name companies, that support the same vision</w:t>
      </w:r>
      <w:r w:rsidR="000A6F44">
        <w:t xml:space="preserve">, with the probability of larger grocery chains considering a </w:t>
      </w:r>
      <w:r w:rsidR="00F64933">
        <w:t>build in the communities.</w:t>
      </w:r>
      <w:r w:rsidR="004A444A">
        <w:t xml:space="preserve"> I believe the</w:t>
      </w:r>
      <w:r w:rsidR="00B44ECB">
        <w:t xml:space="preserve"> collaborations could open dialogue </w:t>
      </w:r>
      <w:r w:rsidR="00A47529">
        <w:t>for remolding existing stores as well, with perhaps some assistance with funding.</w:t>
      </w:r>
      <w:r w:rsidR="00400EA5">
        <w:t xml:space="preserve"> </w:t>
      </w:r>
      <w:r w:rsidR="00D43AE7">
        <w:t xml:space="preserve"> According to (Dollar General 2021), </w:t>
      </w:r>
      <w:r w:rsidR="00EF02EA">
        <w:t>“Here in Baton Rouge, we are firm believers in the power of public partnerships</w:t>
      </w:r>
      <w:r w:rsidR="00106508">
        <w:t xml:space="preserve">,” said Baton Rouge Mayor-President Sharon Weston Broome. “These collaborations allow our municipal </w:t>
      </w:r>
      <w:r w:rsidR="005E2CF6">
        <w:t>government to work businesses and non-profits to address the needs of o</w:t>
      </w:r>
      <w:r w:rsidR="006B5155">
        <w:t xml:space="preserve">ur residents. Our </w:t>
      </w:r>
      <w:proofErr w:type="spellStart"/>
      <w:r w:rsidR="006B5155">
        <w:t>HealthyBR</w:t>
      </w:r>
      <w:proofErr w:type="spellEnd"/>
      <w:r w:rsidR="006B5155">
        <w:t xml:space="preserve"> team is looking forward to</w:t>
      </w:r>
      <w:r w:rsidR="00855F83">
        <w:t xml:space="preserve"> working with Dollar General to advance the Geaux Get Healthy Initiative. Our community is thankful to have partner</w:t>
      </w:r>
      <w:r w:rsidR="00B63537">
        <w:t>s like Dollar General. Our Lady of the Lake Regional Medical Center, and the American Heart Association</w:t>
      </w:r>
      <w:r w:rsidR="00083793">
        <w:t xml:space="preserve"> as we work to address food insecurity in East Baton Rouge Parish.”</w:t>
      </w:r>
    </w:p>
    <w:p w14:paraId="0878CBDA" w14:textId="20FEF7CE" w:rsidR="006D6122" w:rsidRDefault="00B2670D" w:rsidP="00AC2CF4">
      <w:pPr>
        <w:ind w:firstLine="720"/>
      </w:pPr>
      <w:r>
        <w:t>Policy implementation for a school nurse to become more involved in the Healthy Corner Store Initiative is possible, however, a bit more challenging. Nurses promote health</w:t>
      </w:r>
      <w:r w:rsidR="00495194">
        <w:t xml:space="preserve">, among other roles. After school, children in food deserts often walk pass </w:t>
      </w:r>
      <w:r w:rsidR="004F224B">
        <w:t>corner stores on which there are</w:t>
      </w:r>
      <w:r w:rsidR="007B3CBC">
        <w:t xml:space="preserve"> a plethora of unhealthy choices to grab and go. School nurses could </w:t>
      </w:r>
      <w:r w:rsidR="000E5931">
        <w:t xml:space="preserve">role model healthy </w:t>
      </w:r>
      <w:r w:rsidR="003C67CA">
        <w:t xml:space="preserve">eating habits in </w:t>
      </w:r>
      <w:r w:rsidR="006A0653">
        <w:t>several</w:t>
      </w:r>
      <w:r w:rsidR="003C67CA">
        <w:t xml:space="preserve"> </w:t>
      </w:r>
      <w:r w:rsidR="006A0653">
        <w:t>ways if</w:t>
      </w:r>
      <w:r w:rsidR="003C67CA">
        <w:t xml:space="preserve"> it were incorporated into the curriculum</w:t>
      </w:r>
      <w:r w:rsidR="006A0653">
        <w:t>. Health promotion, in this policy could easily be encourage by nurses.</w:t>
      </w:r>
      <w:r w:rsidR="00C512A7">
        <w:t xml:space="preserve"> They could work with physical education teachers and coaches, to teach healthy eating choices.</w:t>
      </w:r>
      <w:r w:rsidR="00A73954">
        <w:t xml:space="preserve"> Awareness of eating </w:t>
      </w:r>
      <w:r w:rsidR="00D45FDD">
        <w:t>fresh fruits and vegetables daily, healthy snacks and water would be a positive impact for the student body. As a result, when stopping by the corner stores in their neighborhoods, children would perhaps, take a</w:t>
      </w:r>
      <w:r w:rsidR="003E62B4">
        <w:t xml:space="preserve"> second to choose a wise and healthy food choice.</w:t>
      </w:r>
      <w:r w:rsidR="00CF3F57">
        <w:t xml:space="preserve"> </w:t>
      </w:r>
      <w:r w:rsidR="003150AC">
        <w:t>“</w:t>
      </w:r>
      <w:r w:rsidR="00CF3F57">
        <w:t>Data</w:t>
      </w:r>
      <w:r w:rsidR="003F25D5">
        <w:t xml:space="preserve"> on the Farm to School program</w:t>
      </w:r>
      <w:r w:rsidR="001A2515">
        <w:t xml:space="preserve"> suggest that implementation</w:t>
      </w:r>
      <w:r w:rsidR="00DF01ED">
        <w:t xml:space="preserve"> of the program</w:t>
      </w:r>
      <w:r w:rsidR="003F25D5">
        <w:t xml:space="preserve"> within the school increases st</w:t>
      </w:r>
      <w:r w:rsidR="002476CA">
        <w:t>udents’ knowledge and</w:t>
      </w:r>
      <w:r w:rsidR="00B823D0">
        <w:t xml:space="preserve"> positive attitudes</w:t>
      </w:r>
      <w:r w:rsidR="007E1ACD">
        <w:t xml:space="preserve"> regarding eating fresh fruits and </w:t>
      </w:r>
      <w:r w:rsidR="001260D8">
        <w:t>vegetables” (</w:t>
      </w:r>
      <w:r w:rsidR="003C5682">
        <w:t>Muckian, et al, 2017</w:t>
      </w:r>
      <w:r w:rsidR="004916B5">
        <w:t>, p11</w:t>
      </w:r>
      <w:r w:rsidR="001C2F54">
        <w:t xml:space="preserve">, as cited in </w:t>
      </w:r>
      <w:r w:rsidR="0053239E">
        <w:t>Journal of Pediatric Nursing</w:t>
      </w:r>
      <w:r w:rsidR="00AE07FE">
        <w:t xml:space="preserve">, 35 </w:t>
      </w:r>
      <w:r w:rsidR="00D67BA9">
        <w:t>(2017) 10-15</w:t>
      </w:r>
      <w:r w:rsidR="00C27AB6">
        <w:t>.</w:t>
      </w:r>
    </w:p>
    <w:p w14:paraId="50CFBCB9" w14:textId="4FE4212B" w:rsidR="00F56FA7" w:rsidRDefault="00F56FA7" w:rsidP="00AC2CF4">
      <w:pPr>
        <w:ind w:firstLine="720"/>
      </w:pPr>
      <w:r>
        <w:lastRenderedPageBreak/>
        <w:t>Policy implementation is a daunting task</w:t>
      </w:r>
      <w:r w:rsidR="00EE45C2">
        <w:t>, the process can be long and arduous</w:t>
      </w:r>
      <w:r w:rsidR="00F63515">
        <w:t>, however,</w:t>
      </w:r>
      <w:r w:rsidR="00EE45C2">
        <w:t xml:space="preserve"> </w:t>
      </w:r>
      <w:r w:rsidR="00F63515">
        <w:t>t</w:t>
      </w:r>
      <w:r w:rsidR="005940AA">
        <w:t>he push for effective change is necessary</w:t>
      </w:r>
      <w:r w:rsidR="00DE7BA7">
        <w:t xml:space="preserve">. </w:t>
      </w:r>
      <w:r w:rsidR="00CF3193">
        <w:t xml:space="preserve">Successful policy </w:t>
      </w:r>
      <w:r w:rsidR="00237E86">
        <w:t>implementation can happen</w:t>
      </w:r>
      <w:r w:rsidR="00356D87">
        <w:t xml:space="preserve"> with the right resources, cooperation, </w:t>
      </w:r>
      <w:r w:rsidR="00D30817">
        <w:t>partnerships,</w:t>
      </w:r>
      <w:r w:rsidR="00356D87">
        <w:t xml:space="preserve"> and </w:t>
      </w:r>
      <w:r w:rsidR="00516C15">
        <w:t>management of the pro</w:t>
      </w:r>
      <w:r w:rsidR="00D30817">
        <w:t>ject.</w:t>
      </w:r>
    </w:p>
    <w:p w14:paraId="1D65CAF3" w14:textId="7DD954F8" w:rsidR="00D30817" w:rsidRDefault="00D30817" w:rsidP="00AC2CF4">
      <w:pPr>
        <w:ind w:firstLine="720"/>
      </w:pPr>
    </w:p>
    <w:p w14:paraId="4FE9EB9D" w14:textId="77777777" w:rsidR="003B05A1" w:rsidRDefault="00CD0D6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47D1E29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71759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196E88C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73E8F4B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6CF00F5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3717C00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ADED64F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6D09FC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D854AB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D55A7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CA2F9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5E02B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23D32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C93ED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768AE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233BC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956E4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02248" w14:textId="77777777" w:rsidR="003B05A1" w:rsidRDefault="003B05A1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D382B" w14:textId="48175AB8" w:rsidR="00870A96" w:rsidRPr="00CD0D61" w:rsidRDefault="00CD0D61" w:rsidP="003B05A1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0D6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159486FE" w14:textId="77777777" w:rsidR="00870A96" w:rsidRDefault="00870A96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D2D30A" w14:textId="77777777" w:rsidR="00870A96" w:rsidRDefault="00870A96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277459" w14:textId="7E0B6947" w:rsidR="00870A96" w:rsidRDefault="00870A96" w:rsidP="00870A96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Dollar General lauded for expanding fresh produce access – Produce Blue Book</w:t>
      </w:r>
      <w:r>
        <w:rPr>
          <w:rFonts w:ascii="Times New Roman" w:hAnsi="Times New Roman" w:cs="Times New Roman"/>
          <w:sz w:val="24"/>
          <w:szCs w:val="24"/>
        </w:rPr>
        <w:t xml:space="preserve">. (2021, February 10). ProduceBlueBook.com.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https://www.producebluebook.com/2021/02/10/dollar-general-lauded-for-expanding-fresh-produce-access/#</w:t>
        </w:r>
      </w:hyperlink>
    </w:p>
    <w:p w14:paraId="7E6678C5" w14:textId="77777777" w:rsidR="00464583" w:rsidRPr="00464583" w:rsidRDefault="00464583" w:rsidP="00464583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64583">
        <w:rPr>
          <w:rFonts w:ascii="Times New Roman" w:eastAsiaTheme="minorEastAsia" w:hAnsi="Times New Roman" w:cs="Times New Roman"/>
          <w:sz w:val="24"/>
          <w:szCs w:val="24"/>
        </w:rPr>
        <w:t>Muckian</w:t>
      </w:r>
      <w:proofErr w:type="spellEnd"/>
      <w:r w:rsidRPr="00464583">
        <w:rPr>
          <w:rFonts w:ascii="Times New Roman" w:eastAsiaTheme="minorEastAsia" w:hAnsi="Times New Roman" w:cs="Times New Roman"/>
          <w:sz w:val="24"/>
          <w:szCs w:val="24"/>
        </w:rPr>
        <w:t xml:space="preserve">, J., </w:t>
      </w:r>
      <w:proofErr w:type="spellStart"/>
      <w:r w:rsidRPr="00464583">
        <w:rPr>
          <w:rFonts w:ascii="Times New Roman" w:eastAsiaTheme="minorEastAsia" w:hAnsi="Times New Roman" w:cs="Times New Roman"/>
          <w:sz w:val="24"/>
          <w:szCs w:val="24"/>
        </w:rPr>
        <w:t>Snethen</w:t>
      </w:r>
      <w:proofErr w:type="spellEnd"/>
      <w:r w:rsidRPr="00464583">
        <w:rPr>
          <w:rFonts w:ascii="Times New Roman" w:eastAsiaTheme="minorEastAsia" w:hAnsi="Times New Roman" w:cs="Times New Roman"/>
          <w:sz w:val="24"/>
          <w:szCs w:val="24"/>
        </w:rPr>
        <w:t xml:space="preserve">, J., &amp; </w:t>
      </w:r>
      <w:proofErr w:type="spellStart"/>
      <w:r w:rsidRPr="00464583">
        <w:rPr>
          <w:rFonts w:ascii="Times New Roman" w:eastAsiaTheme="minorEastAsia" w:hAnsi="Times New Roman" w:cs="Times New Roman"/>
          <w:sz w:val="24"/>
          <w:szCs w:val="24"/>
        </w:rPr>
        <w:t>Buseh</w:t>
      </w:r>
      <w:proofErr w:type="spellEnd"/>
      <w:r w:rsidRPr="00464583">
        <w:rPr>
          <w:rFonts w:ascii="Times New Roman" w:eastAsiaTheme="minorEastAsia" w:hAnsi="Times New Roman" w:cs="Times New Roman"/>
          <w:sz w:val="24"/>
          <w:szCs w:val="24"/>
        </w:rPr>
        <w:t xml:space="preserve">, A. (2017). School Nurses’ Experiences and Perceptions of Healthy Eating School Environments. </w:t>
      </w:r>
      <w:r w:rsidRPr="00464583">
        <w:rPr>
          <w:rFonts w:ascii="Times New Roman" w:eastAsiaTheme="minorEastAsia" w:hAnsi="Times New Roman" w:cs="Times New Roman"/>
          <w:i/>
          <w:iCs/>
          <w:sz w:val="24"/>
          <w:szCs w:val="24"/>
        </w:rPr>
        <w:t>Journal of Pediatric Nursing</w:t>
      </w:r>
      <w:r w:rsidRPr="0046458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464583">
        <w:rPr>
          <w:rFonts w:ascii="Times New Roman" w:eastAsiaTheme="minorEastAsia" w:hAnsi="Times New Roman" w:cs="Times New Roman"/>
          <w:i/>
          <w:iCs/>
          <w:sz w:val="24"/>
          <w:szCs w:val="24"/>
        </w:rPr>
        <w:t>35</w:t>
      </w:r>
      <w:r w:rsidRPr="00464583">
        <w:rPr>
          <w:rFonts w:ascii="Times New Roman" w:eastAsiaTheme="minorEastAsia" w:hAnsi="Times New Roman" w:cs="Times New Roman"/>
          <w:sz w:val="24"/>
          <w:szCs w:val="24"/>
        </w:rPr>
        <w:t>, 10–15. https://doi.org/</w:t>
      </w:r>
      <w:hyperlink r:id="rId8" w:history="1">
        <w:r w:rsidRPr="00464583">
          <w:rPr>
            <w:rFonts w:ascii="Times New Roman" w:eastAsiaTheme="minorEastAsia" w:hAnsi="Times New Roman" w:cs="Times New Roman"/>
            <w:sz w:val="24"/>
            <w:szCs w:val="24"/>
          </w:rPr>
          <w:t>10.1016/j.pedn.2017.02.001</w:t>
        </w:r>
      </w:hyperlink>
    </w:p>
    <w:p w14:paraId="159DB2F2" w14:textId="0C8C5FA1" w:rsidR="00D30817" w:rsidRDefault="00D30817" w:rsidP="00D30817">
      <w:pPr>
        <w:rPr>
          <w:b/>
          <w:bCs/>
        </w:rPr>
      </w:pPr>
    </w:p>
    <w:p w14:paraId="003D62A8" w14:textId="77777777" w:rsidR="00D30817" w:rsidRDefault="00D30817" w:rsidP="00D30817">
      <w:pPr>
        <w:rPr>
          <w:b/>
          <w:bCs/>
        </w:rPr>
      </w:pPr>
    </w:p>
    <w:p w14:paraId="7D9B1FB7" w14:textId="77777777" w:rsidR="00D30817" w:rsidRPr="00D30817" w:rsidRDefault="00D30817" w:rsidP="00D30817">
      <w:pPr>
        <w:ind w:left="2880" w:firstLine="720"/>
        <w:rPr>
          <w:b/>
          <w:bCs/>
        </w:rPr>
      </w:pPr>
    </w:p>
    <w:p w14:paraId="3C3988CA" w14:textId="77777777" w:rsidR="00D30817" w:rsidRDefault="00D30817" w:rsidP="00AC2CF4">
      <w:pPr>
        <w:ind w:firstLine="720"/>
      </w:pPr>
    </w:p>
    <w:p w14:paraId="43791615" w14:textId="2931AAD4" w:rsidR="000223F8" w:rsidRDefault="000223F8" w:rsidP="000223F8">
      <w:r>
        <w:tab/>
      </w:r>
    </w:p>
    <w:p w14:paraId="09E49EE7" w14:textId="77777777" w:rsidR="009D604E" w:rsidRDefault="009D604E" w:rsidP="00AC2CF4">
      <w:pPr>
        <w:ind w:firstLine="720"/>
      </w:pPr>
    </w:p>
    <w:p w14:paraId="4561FB98" w14:textId="77777777" w:rsidR="005E7BEB" w:rsidRDefault="005E7BEB"/>
    <w:p w14:paraId="544C3654" w14:textId="77777777" w:rsidR="005E7BEB" w:rsidRDefault="005E7BEB"/>
    <w:p w14:paraId="7B27A2A3" w14:textId="77777777" w:rsidR="005E7BEB" w:rsidRDefault="005E7BEB"/>
    <w:p w14:paraId="56CFBA4F" w14:textId="77777777" w:rsidR="005E7BEB" w:rsidRDefault="005E7BEB"/>
    <w:p w14:paraId="6AB28223" w14:textId="77777777" w:rsidR="005E7BEB" w:rsidRDefault="005E7BEB"/>
    <w:p w14:paraId="304F8D46" w14:textId="77777777" w:rsidR="005E7BEB" w:rsidRDefault="005E7BEB"/>
    <w:p w14:paraId="44780AD8" w14:textId="77777777" w:rsidR="005E7BEB" w:rsidRDefault="005E7BEB"/>
    <w:p w14:paraId="08A5D84E" w14:textId="77777777" w:rsidR="005E7BEB" w:rsidRDefault="005E7BEB"/>
    <w:p w14:paraId="653AB3BF" w14:textId="6A1604A9" w:rsidR="00B230EC" w:rsidRDefault="00B230EC" w:rsidP="004279FE">
      <w:pPr>
        <w:jc w:val="both"/>
      </w:pPr>
    </w:p>
    <w:p w14:paraId="70C67FC7" w14:textId="08F5A046" w:rsidR="003746B2" w:rsidRDefault="003746B2" w:rsidP="003746B2">
      <w:pPr>
        <w:ind w:firstLine="720"/>
      </w:pPr>
    </w:p>
    <w:p w14:paraId="21F1CA60" w14:textId="77777777" w:rsidR="005E7BEB" w:rsidRDefault="005E7BEB"/>
    <w:p w14:paraId="5A065128" w14:textId="77777777" w:rsidR="005E7BEB" w:rsidRDefault="005E7BEB"/>
    <w:p w14:paraId="06E8469E" w14:textId="77777777" w:rsidR="005E7BEB" w:rsidRDefault="005E7BEB"/>
    <w:sectPr w:rsidR="005E7BE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2785" w14:textId="77777777" w:rsidR="002F527F" w:rsidRDefault="002F527F" w:rsidP="006037E9">
      <w:pPr>
        <w:spacing w:after="0" w:line="240" w:lineRule="auto"/>
      </w:pPr>
      <w:r>
        <w:separator/>
      </w:r>
    </w:p>
  </w:endnote>
  <w:endnote w:type="continuationSeparator" w:id="0">
    <w:p w14:paraId="0011C868" w14:textId="77777777" w:rsidR="002F527F" w:rsidRDefault="002F527F" w:rsidP="0060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278F" w14:textId="77777777" w:rsidR="002F527F" w:rsidRDefault="002F527F" w:rsidP="006037E9">
      <w:pPr>
        <w:spacing w:after="0" w:line="240" w:lineRule="auto"/>
      </w:pPr>
      <w:r>
        <w:separator/>
      </w:r>
    </w:p>
  </w:footnote>
  <w:footnote w:type="continuationSeparator" w:id="0">
    <w:p w14:paraId="705D6B36" w14:textId="77777777" w:rsidR="002F527F" w:rsidRDefault="002F527F" w:rsidP="0060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5552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B3D649" w14:textId="7F8ED6CF" w:rsidR="006037E9" w:rsidRDefault="006037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67E02" w14:textId="77777777" w:rsidR="006037E9" w:rsidRDefault="00603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E7"/>
    <w:rsid w:val="0001410C"/>
    <w:rsid w:val="0001433B"/>
    <w:rsid w:val="000223F8"/>
    <w:rsid w:val="00037A74"/>
    <w:rsid w:val="000706CF"/>
    <w:rsid w:val="00083793"/>
    <w:rsid w:val="000906CA"/>
    <w:rsid w:val="00094279"/>
    <w:rsid w:val="0009743D"/>
    <w:rsid w:val="000A6F44"/>
    <w:rsid w:val="000C5AD1"/>
    <w:rsid w:val="000E5931"/>
    <w:rsid w:val="00106508"/>
    <w:rsid w:val="001260D8"/>
    <w:rsid w:val="00127234"/>
    <w:rsid w:val="001975C1"/>
    <w:rsid w:val="001A2515"/>
    <w:rsid w:val="001A60E0"/>
    <w:rsid w:val="001C2F54"/>
    <w:rsid w:val="001F3CFB"/>
    <w:rsid w:val="002006A3"/>
    <w:rsid w:val="002165DC"/>
    <w:rsid w:val="00230F8E"/>
    <w:rsid w:val="00233397"/>
    <w:rsid w:val="00237E86"/>
    <w:rsid w:val="002476CA"/>
    <w:rsid w:val="002808AD"/>
    <w:rsid w:val="002F527F"/>
    <w:rsid w:val="00314E78"/>
    <w:rsid w:val="003150AC"/>
    <w:rsid w:val="00341B16"/>
    <w:rsid w:val="00356D87"/>
    <w:rsid w:val="003746B2"/>
    <w:rsid w:val="0039157F"/>
    <w:rsid w:val="003977FE"/>
    <w:rsid w:val="003978F7"/>
    <w:rsid w:val="003A64BF"/>
    <w:rsid w:val="003A679B"/>
    <w:rsid w:val="003B05A1"/>
    <w:rsid w:val="003B5544"/>
    <w:rsid w:val="003C5682"/>
    <w:rsid w:val="003C60A3"/>
    <w:rsid w:val="003C67CA"/>
    <w:rsid w:val="003E62B4"/>
    <w:rsid w:val="003F25D5"/>
    <w:rsid w:val="00400EA5"/>
    <w:rsid w:val="00422FAC"/>
    <w:rsid w:val="004279FE"/>
    <w:rsid w:val="00437DEE"/>
    <w:rsid w:val="00440F7A"/>
    <w:rsid w:val="004545C6"/>
    <w:rsid w:val="00464583"/>
    <w:rsid w:val="00474F79"/>
    <w:rsid w:val="004916B5"/>
    <w:rsid w:val="00495194"/>
    <w:rsid w:val="00496503"/>
    <w:rsid w:val="004A444A"/>
    <w:rsid w:val="004A4843"/>
    <w:rsid w:val="004D65C1"/>
    <w:rsid w:val="004F224B"/>
    <w:rsid w:val="00516C15"/>
    <w:rsid w:val="0053239E"/>
    <w:rsid w:val="00541680"/>
    <w:rsid w:val="00567DDB"/>
    <w:rsid w:val="005940AA"/>
    <w:rsid w:val="005A0324"/>
    <w:rsid w:val="005A3E69"/>
    <w:rsid w:val="005E2CF6"/>
    <w:rsid w:val="005E7BEB"/>
    <w:rsid w:val="00603160"/>
    <w:rsid w:val="006037E9"/>
    <w:rsid w:val="00615E0C"/>
    <w:rsid w:val="00621A11"/>
    <w:rsid w:val="00624492"/>
    <w:rsid w:val="0066288C"/>
    <w:rsid w:val="00690E08"/>
    <w:rsid w:val="006A0653"/>
    <w:rsid w:val="006B5155"/>
    <w:rsid w:val="006B7F21"/>
    <w:rsid w:val="006C7B3F"/>
    <w:rsid w:val="006D6122"/>
    <w:rsid w:val="006F06ED"/>
    <w:rsid w:val="00706EB7"/>
    <w:rsid w:val="0072452B"/>
    <w:rsid w:val="00726BC2"/>
    <w:rsid w:val="00772239"/>
    <w:rsid w:val="00773B67"/>
    <w:rsid w:val="007B2C12"/>
    <w:rsid w:val="007B3CBC"/>
    <w:rsid w:val="007D0782"/>
    <w:rsid w:val="007E1ACD"/>
    <w:rsid w:val="007E4BF7"/>
    <w:rsid w:val="00846F81"/>
    <w:rsid w:val="00850183"/>
    <w:rsid w:val="00855F83"/>
    <w:rsid w:val="00870A96"/>
    <w:rsid w:val="008822C3"/>
    <w:rsid w:val="008862FA"/>
    <w:rsid w:val="00890308"/>
    <w:rsid w:val="0089384F"/>
    <w:rsid w:val="00897B6C"/>
    <w:rsid w:val="008F25AA"/>
    <w:rsid w:val="009145E7"/>
    <w:rsid w:val="00951DD5"/>
    <w:rsid w:val="009878AC"/>
    <w:rsid w:val="009C20F0"/>
    <w:rsid w:val="009D604E"/>
    <w:rsid w:val="009F5FB4"/>
    <w:rsid w:val="009F633F"/>
    <w:rsid w:val="00A0211D"/>
    <w:rsid w:val="00A34116"/>
    <w:rsid w:val="00A47529"/>
    <w:rsid w:val="00A73954"/>
    <w:rsid w:val="00A87E64"/>
    <w:rsid w:val="00AB486C"/>
    <w:rsid w:val="00AC1541"/>
    <w:rsid w:val="00AC24B7"/>
    <w:rsid w:val="00AC2CF4"/>
    <w:rsid w:val="00AE07FE"/>
    <w:rsid w:val="00B03E11"/>
    <w:rsid w:val="00B230EC"/>
    <w:rsid w:val="00B2670D"/>
    <w:rsid w:val="00B44ECB"/>
    <w:rsid w:val="00B63537"/>
    <w:rsid w:val="00B645A4"/>
    <w:rsid w:val="00B823D0"/>
    <w:rsid w:val="00BB0AEC"/>
    <w:rsid w:val="00BF02F6"/>
    <w:rsid w:val="00BF6108"/>
    <w:rsid w:val="00C07C54"/>
    <w:rsid w:val="00C17B22"/>
    <w:rsid w:val="00C27AB6"/>
    <w:rsid w:val="00C37168"/>
    <w:rsid w:val="00C512A7"/>
    <w:rsid w:val="00C8614E"/>
    <w:rsid w:val="00CC584F"/>
    <w:rsid w:val="00CD0ABC"/>
    <w:rsid w:val="00CD0D61"/>
    <w:rsid w:val="00CE4D26"/>
    <w:rsid w:val="00CE6BA6"/>
    <w:rsid w:val="00CF3193"/>
    <w:rsid w:val="00CF3F57"/>
    <w:rsid w:val="00CF4B5C"/>
    <w:rsid w:val="00D22EEF"/>
    <w:rsid w:val="00D24051"/>
    <w:rsid w:val="00D30817"/>
    <w:rsid w:val="00D314A5"/>
    <w:rsid w:val="00D43AE7"/>
    <w:rsid w:val="00D45FDD"/>
    <w:rsid w:val="00D54F6C"/>
    <w:rsid w:val="00D67BA9"/>
    <w:rsid w:val="00D940FC"/>
    <w:rsid w:val="00DE46DE"/>
    <w:rsid w:val="00DE7BA7"/>
    <w:rsid w:val="00DF01ED"/>
    <w:rsid w:val="00E0072A"/>
    <w:rsid w:val="00E16CEC"/>
    <w:rsid w:val="00E54101"/>
    <w:rsid w:val="00E812EF"/>
    <w:rsid w:val="00E94D9E"/>
    <w:rsid w:val="00E95012"/>
    <w:rsid w:val="00EA0B77"/>
    <w:rsid w:val="00ED27C1"/>
    <w:rsid w:val="00EE45C2"/>
    <w:rsid w:val="00EF02EA"/>
    <w:rsid w:val="00F04A87"/>
    <w:rsid w:val="00F510AA"/>
    <w:rsid w:val="00F56FA7"/>
    <w:rsid w:val="00F63515"/>
    <w:rsid w:val="00F64933"/>
    <w:rsid w:val="00F97682"/>
    <w:rsid w:val="00FA196A"/>
    <w:rsid w:val="00FB26CB"/>
    <w:rsid w:val="00FB72C8"/>
    <w:rsid w:val="00FC2A70"/>
    <w:rsid w:val="00FE30B7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CF61"/>
  <w15:chartTrackingRefBased/>
  <w15:docId w15:val="{F9AD2835-141D-4328-B14B-DA260DC4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7E9"/>
  </w:style>
  <w:style w:type="paragraph" w:styleId="Footer">
    <w:name w:val="footer"/>
    <w:basedOn w:val="Normal"/>
    <w:link w:val="FooterChar"/>
    <w:uiPriority w:val="99"/>
    <w:unhideWhenUsed/>
    <w:rsid w:val="0060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7E9"/>
  </w:style>
  <w:style w:type="paragraph" w:styleId="NoSpacing">
    <w:name w:val="No Spacing"/>
    <w:uiPriority w:val="1"/>
    <w:qFormat/>
    <w:rsid w:val="006037E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70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0.1016/j.pedn.2017.02.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ucebluebook.com/2021/02/10/dollar-general-lauded-for-expanding-fresh-produce-acces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E330-55C1-46C1-825A-335B3B56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Support Team</cp:lastModifiedBy>
  <cp:revision>3</cp:revision>
  <dcterms:created xsi:type="dcterms:W3CDTF">2022-02-06T15:59:00Z</dcterms:created>
  <dcterms:modified xsi:type="dcterms:W3CDTF">2022-02-16T23:47:00Z</dcterms:modified>
</cp:coreProperties>
</file>